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DAF2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</w:pPr>
      <w:r w:rsidRPr="00742F23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  <w:t>Discours d'ouverture du 12e WEEC, Abu Dhabi, 29 janvier 2024</w:t>
      </w:r>
    </w:p>
    <w:p w14:paraId="3F6BB207" w14:textId="77777777" w:rsidR="00B72F30" w:rsidRPr="00742F23" w:rsidRDefault="00B72F30" w:rsidP="00040AAC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</w:pPr>
    </w:p>
    <w:p w14:paraId="3169E868" w14:textId="0379FC52" w:rsidR="00040AAC" w:rsidRDefault="00742F23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  <w:t xml:space="preserve">Mario </w:t>
      </w:r>
      <w:proofErr w:type="spellStart"/>
      <w:r w:rsidRPr="00742F23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  <w:lang w:val="fr-FR"/>
        </w:rPr>
        <w:t>Salomone</w:t>
      </w:r>
      <w:proofErr w:type="spellEnd"/>
    </w:p>
    <w:p w14:paraId="41DADB01" w14:textId="77777777" w:rsidR="00040AAC" w:rsidRDefault="00040AAC" w:rsidP="00040AA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7809A6" w14:textId="0CAECD79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Excellences,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Autorités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Institutions,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chers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chères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Collègues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d'Abu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Dhabi et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Émirats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arabes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unis,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amis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amies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venus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grand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nombre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du monde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entier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jeunes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qui pour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troisième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histoire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participent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conférence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qui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apporte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voix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indispensable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précieuse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nouvelles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générations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6129EA63" w14:textId="43E6EA14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Tout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d'abord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je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tiens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remercier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comité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d'organisation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local (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l'Agence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l'environnement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), qui, avec engagement et conviction, 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poursuivi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l'objectif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tenir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ici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offrant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plate-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forme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dynamique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dialogue et de collaboration.</w:t>
      </w:r>
    </w:p>
    <w:p w14:paraId="618E8121" w14:textId="5E5D7F3B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Je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remercie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sincèrement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ceux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qui, à Abou Dhabi, aux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Émirats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à distance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contribué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au succès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douzième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rencontre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21DFDEF3" w14:textId="4562121B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WEEC 2024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incarne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un engagement mondial en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faveur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l'environnement,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pays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qui nous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hôte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témoigne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généreusement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également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assumant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présidence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l'Union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internationale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pour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conservation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la nature.</w:t>
      </w:r>
    </w:p>
    <w:p w14:paraId="49258756" w14:textId="1FD4E501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Le rôle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Émirats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arabes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unis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en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tant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qu'hôte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crucial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créant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un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effet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entraînement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qui, je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espère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, s'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étendra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bien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au-delà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inspirant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changements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percutants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dans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le monde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entier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.</w:t>
      </w:r>
    </w:p>
    <w:p w14:paraId="3FC5C10A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Vingt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écoulés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depuis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 premier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au Portugal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douze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c'est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tout un exploit.</w:t>
      </w:r>
    </w:p>
    <w:p w14:paraId="208B6B76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chaque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essayons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présenter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réflexions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les plus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appropriées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le moment que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traversons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dans un monde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pleine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accélération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recherches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les plus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récentes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les pratiques les plus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efficaces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48A418F3" w14:textId="2ADDF38B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Chaque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rencontrons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dans un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endroit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différent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du globe, qui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aussi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un carrefour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différent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l'histoire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parce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 le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contexte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change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constamment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autour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nous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parce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chaque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destination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porte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marque de traditions, de cultures, de structures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économiques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sociales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différentes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ainsi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porte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marque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événements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l'histoire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passée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affectée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par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événements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du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présent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qui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construction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l'histoire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lirons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l'avenir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5A5E0628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Puisque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l'avenir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invention collective,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l'avenir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résultat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actions, des choix et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espoirs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quelque 8,1 milliards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personnes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qui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habitent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Terre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quelque 8,5 milliards qui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s'y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trouveront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2030,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année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laquelle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tourne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l'Agenda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Nations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Unies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641F0B3D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>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l'environnement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>a la</w:t>
      </w:r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grande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responsabilité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apporter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une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contribution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fondamentale à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cette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invention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avenir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.</w:t>
      </w:r>
    </w:p>
    <w:p w14:paraId="15FF13C8" w14:textId="7D7C7693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Un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carrefour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l'histoire est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aussi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une </w:t>
      </w:r>
      <w:r w:rsidRPr="00742F23">
        <w:rPr>
          <w:rFonts w:ascii="Arial" w:hAnsi="Arial" w:cs="Arial"/>
          <w:sz w:val="24"/>
          <w:szCs w:val="24"/>
          <w:lang w:val="it-IT"/>
        </w:rPr>
        <w:t>impasse:</w:t>
      </w:r>
      <w:r w:rsidRPr="00742F23">
        <w:rPr>
          <w:rFonts w:ascii="Arial" w:hAnsi="Arial" w:cs="Arial"/>
          <w:sz w:val="24"/>
          <w:szCs w:val="24"/>
          <w:lang w:val="it-IT"/>
        </w:rPr>
        <w:t xml:space="preserve"> quelle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route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quel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chemin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>emprunter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?</w:t>
      </w:r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carrefour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l'histoire est plus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complexe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qu'une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bifurcation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un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carrefour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. Il s'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agit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d'un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enchevêtrement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sentiers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qui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bifurquent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dans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forêt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pistes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qui se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ramifient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dans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désert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Aujourd'hui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la «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polycrise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»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climatique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écologique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économique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géopolitique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rend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l'écheveau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chemins possibles encore plus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complexe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incertain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126FF0A3" w14:textId="7325562C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Voici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un premier point que </w:t>
      </w:r>
      <w:r w:rsidRPr="00742F23">
        <w:rPr>
          <w:rFonts w:ascii="Arial" w:hAnsi="Arial" w:cs="Arial"/>
          <w:sz w:val="24"/>
          <w:szCs w:val="24"/>
          <w:lang w:val="en-US"/>
        </w:rPr>
        <w:t>me</w:t>
      </w:r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tiens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proofErr w:type="gramStart"/>
      <w:r w:rsidRPr="00742F23">
        <w:rPr>
          <w:rFonts w:ascii="Arial" w:hAnsi="Arial" w:cs="Arial"/>
          <w:sz w:val="24"/>
          <w:szCs w:val="24"/>
          <w:lang w:val="en-US"/>
        </w:rPr>
        <w:t>souligner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l'environnement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avant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tout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l'avenir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6B6F6A50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Ici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à Abu Dhabi,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sommes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un carrefour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particulièrement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important. </w:t>
      </w:r>
    </w:p>
    <w:p w14:paraId="2C4E7BBF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sommes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Asie,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mais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presque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au carrefour de trois des cinq,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six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sept continents (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selon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critères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) et à peu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même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distance, à vol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d'oiseau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centres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géographiques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trois (Asie, Afrique, Europe) et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autres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continents. </w:t>
      </w:r>
    </w:p>
    <w:p w14:paraId="59EE0B74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Je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voudrais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rappeler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qu'à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Abou Dhabi, le 4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février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2019 (nous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sommes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donc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au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cinquième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anniversaire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), le Grand Imam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d'Al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-Azhar Ahmad Al-Tayyeb avec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lastRenderedPageBreak/>
        <w:t>musulmans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d'Orient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d'Occident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Sa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Sainteté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Pape François avec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catholiques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d'Orient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d'Occident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signé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 « Document sur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fraternité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humaine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paix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la coexistence commune ».</w:t>
      </w:r>
    </w:p>
    <w:p w14:paraId="1C3A3C68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document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mentionnait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les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signaux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d'une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 xml:space="preserve">«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troisième</w:t>
      </w:r>
      <w:proofErr w:type="spellEnd"/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guerre mondiale par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morceaux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».</w:t>
      </w:r>
    </w:p>
    <w:p w14:paraId="012C1E67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Eh bien,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mondiaux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également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excellente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occasion pour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responsables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du monde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entier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se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rencontrer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Grâce aux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Mondiaux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rendons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compte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cette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« accolade entre Orient et Occident, entre Nord et Sud » que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Déclaration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sur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Fraternité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humaine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742F23">
        <w:rPr>
          <w:rFonts w:ascii="Arial" w:hAnsi="Arial" w:cs="Arial"/>
          <w:sz w:val="24"/>
          <w:szCs w:val="24"/>
          <w:lang w:val="en-US"/>
        </w:rPr>
        <w:t>réclamait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742F23">
        <w:rPr>
          <w:rFonts w:ascii="Arial" w:hAnsi="Arial" w:cs="Arial"/>
          <w:sz w:val="24"/>
          <w:szCs w:val="24"/>
          <w:lang w:val="en-US"/>
        </w:rPr>
        <w:t xml:space="preserve"> « entre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croyants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les non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croyants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et entre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toutes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personnes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bonne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volonté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». </w:t>
      </w:r>
    </w:p>
    <w:p w14:paraId="149706E0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déclaration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indiquait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parmi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les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objectifs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pleine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citoyenneté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paix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les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droits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dialogue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respect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mutuel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.</w:t>
      </w:r>
    </w:p>
    <w:p w14:paraId="7C697A20" w14:textId="0B7F8280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Eh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bien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c'est-à-dire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qu'à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heure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où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multiplient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les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signaux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d'une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 xml:space="preserve">«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troisième</w:t>
      </w:r>
      <w:proofErr w:type="spellEnd"/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guerre mondiale par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morceaux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»,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l'environnement est, en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même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temps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une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éco-citoyenneté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multiculturalisme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et à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paix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. </w:t>
      </w:r>
      <w:r w:rsidRPr="00742F23">
        <w:rPr>
          <w:rFonts w:ascii="Arial" w:hAnsi="Arial" w:cs="Arial"/>
          <w:sz w:val="24"/>
          <w:szCs w:val="24"/>
          <w:lang w:val="en-US"/>
        </w:rPr>
        <w:t xml:space="preserve">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c'est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peut-être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aussi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qui,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historiquement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née dans les pays du Nord, doit se «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décoloniser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», donner plus de place aux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savoirs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aux points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aux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langues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pays du Sud.</w:t>
      </w:r>
    </w:p>
    <w:p w14:paraId="757F16BF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côté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défis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l'avenir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du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défi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l'écocitoyenneté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planétaire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à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paix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je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un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troisième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défi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218FA1E3" w14:textId="11FB1FD3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forêt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dans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laquelle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errons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tant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qu'éducateurs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dans le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secteur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formel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non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formel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forêt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disciplines dans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laquelle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parcours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éducatifs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l'école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l'université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fragmentés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Mais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même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dehors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l'école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l'université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séparations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compartiments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étanches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cachent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à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fois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dans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propre travail et dans tout le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contexte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qui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entoure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fait de structures et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personnes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imprégnées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séparations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entre les disciplines et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langages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spécialisés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E4233AB" w14:textId="6A062EFF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L'interdisciplinarité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transdisciplinarité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sujets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grande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importance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général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plus encore pour </w:t>
      </w:r>
      <w:r w:rsidRPr="00742F23">
        <w:rPr>
          <w:rFonts w:ascii="Arial" w:hAnsi="Arial" w:cs="Arial"/>
          <w:sz w:val="24"/>
          <w:szCs w:val="24"/>
          <w:lang w:val="en-US"/>
        </w:rPr>
        <w:t>nous:</w:t>
      </w:r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l'environnement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effet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se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situe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croisée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perspectives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 terrain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idéal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construire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l'interdisciplinarité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transdisciplinarité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Attention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toutefois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:</w:t>
      </w:r>
      <w:r w:rsidRPr="00742F23">
        <w:rPr>
          <w:rFonts w:ascii="Arial" w:hAnsi="Arial" w:cs="Arial"/>
          <w:sz w:val="24"/>
          <w:szCs w:val="24"/>
          <w:lang w:val="en-US"/>
        </w:rPr>
        <w:t xml:space="preserve"> il ne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s'agit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pas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question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abstraite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qui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n'a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 des implications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académiques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>.</w:t>
      </w:r>
    </w:p>
    <w:p w14:paraId="6CC4F56B" w14:textId="33D31FBF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Ce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défi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effet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a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nombreuses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r w:rsidRPr="00742F23">
        <w:rPr>
          <w:rFonts w:ascii="Arial" w:hAnsi="Arial" w:cs="Arial"/>
          <w:sz w:val="24"/>
          <w:szCs w:val="24"/>
          <w:lang w:val="en-US"/>
        </w:rPr>
        <w:t>implications:</w:t>
      </w:r>
      <w:r w:rsidRPr="00742F23">
        <w:rPr>
          <w:rFonts w:ascii="Arial" w:hAnsi="Arial" w:cs="Arial"/>
          <w:sz w:val="24"/>
          <w:szCs w:val="24"/>
          <w:lang w:val="en-US"/>
        </w:rPr>
        <w:t xml:space="preserve"> il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remet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question la science occidentale, le rapport entre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savoirs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experts et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savoirs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traditionnels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empiriques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pose des questions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éthico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-politiques et passe par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réorganisation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profonde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savoirs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des structures,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lois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il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nécessite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prendre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compte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socio-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diversité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biodiversité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le rapport entre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l'homme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la nature. </w:t>
      </w:r>
    </w:p>
    <w:p w14:paraId="5B0802F4" w14:textId="37D54331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Quelle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meilleure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occasion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en somme, 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démontrer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centralité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(relative) à </w:t>
      </w:r>
      <w:r w:rsidRPr="00742F23">
        <w:rPr>
          <w:rFonts w:ascii="Arial" w:hAnsi="Arial" w:cs="Arial"/>
          <w:sz w:val="24"/>
          <w:szCs w:val="24"/>
          <w:lang w:val="it-IT"/>
        </w:rPr>
        <w:t>l’environnement?</w:t>
      </w:r>
    </w:p>
    <w:p w14:paraId="5D6638DC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5D8B82B5" w14:textId="74F91081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Cette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question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nous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amène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une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conclusion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>et à</w:t>
      </w:r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une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annonce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importante.</w:t>
      </w:r>
    </w:p>
    <w:p w14:paraId="4C224128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Pour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conclure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je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voudrais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citer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une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phrase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qui m'a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suggérée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il y 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quelques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jours par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collègue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Samy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Zalat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de l'Université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égyptienne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Canal de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>Suez :</w:t>
      </w:r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« Il est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crucial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éducation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l'environnement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soit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placée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centre à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tous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les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niveaux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».</w:t>
      </w:r>
    </w:p>
    <w:p w14:paraId="592A687B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mondiaux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réseau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mondial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WEEC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nés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cela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Promouvoir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qualité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l'environnement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accroître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son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efficacité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élargir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consolider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communauté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internationale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éducateurs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l'environnement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faire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sorte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que chacun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d'entre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rentre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chez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lui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après un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avec plus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d'idées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d'énergie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663B246" w14:textId="52F0A50F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lastRenderedPageBreak/>
        <w:t xml:space="preserve">Je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invite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renforcer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communauté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l'utiliser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établir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partenariats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projets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des initiatives de recherche,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utiliser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notre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site Web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réseaux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sociaux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et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célébrer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Journée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mondiale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l'éducation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l'environnement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octobre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prochain.</w:t>
      </w:r>
    </w:p>
    <w:p w14:paraId="39BADB95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Finalement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j'ai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promis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une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annonce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086A6CA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Les processus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d'apprentissage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essentiels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Grâce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l'apprentissage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acquérons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éléments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pour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déplacer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entre les chemins de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l'histoire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les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cas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de la vie. </w:t>
      </w:r>
    </w:p>
    <w:p w14:paraId="58B96E0B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pouvons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apprendre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bien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mal,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pouvons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devenir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égoïstes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individualistes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solidaires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coopératifs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pouvons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absorber des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connaissances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conservatrices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ou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innovantes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CBF93F4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>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apprentissage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contrairement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croissance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matérielle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qui n'est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pas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possible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sur une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planète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finie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n'a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pas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limites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3C9BF06D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Il y a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quarante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-cinq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le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septième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rapport du Club de Rome (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nous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souvenons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du premier rapport du MIT « The Limits to Growth »)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publiait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un rapport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intitulé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précisément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« No Limits to Learning ». </w:t>
      </w:r>
    </w:p>
    <w:p w14:paraId="456357F2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Aujourd'hui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,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importance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apprentissage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pour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faire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face à la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 xml:space="preserve">«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polycrise</w:t>
      </w:r>
      <w:proofErr w:type="spellEnd"/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» nous conduit à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reprendre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rapport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sur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apprentissage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afin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pouvoir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construire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ensemble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avenir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désirable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.</w:t>
      </w:r>
    </w:p>
    <w:p w14:paraId="0F31AA4C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Voici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donc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>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annonce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:</w:t>
      </w:r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un voyage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entre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le Club de Rome et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réseau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mondial WEEC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commence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avec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but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mieux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comprendre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la nature de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apprentissage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aujourd'hui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à la lumière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message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« No Limits to Learning » a lancé face à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immensité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tâche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améliorer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la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qualité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êtres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humains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.</w:t>
      </w:r>
    </w:p>
    <w:p w14:paraId="732E4482" w14:textId="09BF534B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742F23">
        <w:rPr>
          <w:rFonts w:ascii="Arial" w:hAnsi="Arial" w:cs="Arial"/>
          <w:sz w:val="24"/>
          <w:szCs w:val="24"/>
          <w:lang w:val="it-IT"/>
        </w:rPr>
        <w:t xml:space="preserve">Le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message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est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résumé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en une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phrase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Italien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Aurelio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Peccei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fondateur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du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Club de </w:t>
      </w:r>
      <w:r w:rsidRPr="00742F23">
        <w:rPr>
          <w:rFonts w:ascii="Arial" w:hAnsi="Arial" w:cs="Arial"/>
          <w:sz w:val="24"/>
          <w:szCs w:val="24"/>
          <w:lang w:val="it-IT"/>
        </w:rPr>
        <w:t>Rome:</w:t>
      </w:r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742F23">
        <w:rPr>
          <w:rFonts w:ascii="Arial" w:hAnsi="Arial" w:cs="Arial"/>
          <w:sz w:val="24"/>
          <w:szCs w:val="24"/>
          <w:lang w:val="it-IT"/>
        </w:rPr>
        <w:t>« Ce</w:t>
      </w:r>
      <w:proofErr w:type="gramEnd"/>
      <w:r w:rsidRPr="00742F23">
        <w:rPr>
          <w:rFonts w:ascii="Arial" w:hAnsi="Arial" w:cs="Arial"/>
          <w:sz w:val="24"/>
          <w:szCs w:val="24"/>
          <w:lang w:val="it-IT"/>
        </w:rPr>
        <w:t xml:space="preserve"> dont nous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avons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tous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besoin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à ce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stade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de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évolution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humaine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, c'est d'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apprendre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ce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qu'il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faut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pour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apprendre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ce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que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nous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devons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apprendre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 xml:space="preserve"> – et l'</w:t>
      </w:r>
      <w:proofErr w:type="spellStart"/>
      <w:r w:rsidRPr="00742F23">
        <w:rPr>
          <w:rFonts w:ascii="Arial" w:hAnsi="Arial" w:cs="Arial"/>
          <w:sz w:val="24"/>
          <w:szCs w:val="24"/>
          <w:lang w:val="it-IT"/>
        </w:rPr>
        <w:t>apprendre</w:t>
      </w:r>
      <w:proofErr w:type="spellEnd"/>
      <w:r w:rsidRPr="00742F23">
        <w:rPr>
          <w:rFonts w:ascii="Arial" w:hAnsi="Arial" w:cs="Arial"/>
          <w:sz w:val="24"/>
          <w:szCs w:val="24"/>
          <w:lang w:val="it-IT"/>
        </w:rPr>
        <w:t>. »</w:t>
      </w:r>
    </w:p>
    <w:p w14:paraId="5107283C" w14:textId="77777777" w:rsidR="00742F23" w:rsidRPr="00742F23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Les travaux du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douzième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Congrès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mondial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, qui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s'ouvre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matin, nous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aideront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également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dans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chemin.</w:t>
      </w:r>
    </w:p>
    <w:p w14:paraId="2381A593" w14:textId="1A9F6D20" w:rsidR="0059155B" w:rsidRPr="00040AAC" w:rsidRDefault="00742F23" w:rsidP="00742F23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42F23">
        <w:rPr>
          <w:rFonts w:ascii="Arial" w:hAnsi="Arial" w:cs="Arial"/>
          <w:sz w:val="24"/>
          <w:szCs w:val="24"/>
          <w:lang w:val="en-US"/>
        </w:rPr>
        <w:t xml:space="preserve">Bon travail à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vous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42F23">
        <w:rPr>
          <w:rFonts w:ascii="Arial" w:hAnsi="Arial" w:cs="Arial"/>
          <w:sz w:val="24"/>
          <w:szCs w:val="24"/>
          <w:lang w:val="en-US"/>
        </w:rPr>
        <w:t>tous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et </w:t>
      </w:r>
      <w:proofErr w:type="spellStart"/>
      <w:proofErr w:type="gramStart"/>
      <w:r w:rsidRPr="00742F23">
        <w:rPr>
          <w:rFonts w:ascii="Arial" w:hAnsi="Arial" w:cs="Arial"/>
          <w:sz w:val="24"/>
          <w:szCs w:val="24"/>
          <w:lang w:val="en-US"/>
        </w:rPr>
        <w:t>toutes</w:t>
      </w:r>
      <w:proofErr w:type="spellEnd"/>
      <w:r w:rsidRPr="00742F23">
        <w:rPr>
          <w:rFonts w:ascii="Arial" w:hAnsi="Arial" w:cs="Arial"/>
          <w:sz w:val="24"/>
          <w:szCs w:val="24"/>
          <w:lang w:val="en-US"/>
        </w:rPr>
        <w:t xml:space="preserve"> !</w:t>
      </w:r>
      <w:proofErr w:type="gramEnd"/>
    </w:p>
    <w:sectPr w:rsidR="0059155B" w:rsidRPr="00040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63CE"/>
    <w:multiLevelType w:val="hybridMultilevel"/>
    <w:tmpl w:val="D6A872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8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5B"/>
    <w:rsid w:val="00040AAC"/>
    <w:rsid w:val="0015313C"/>
    <w:rsid w:val="004454F1"/>
    <w:rsid w:val="00491B72"/>
    <w:rsid w:val="00530F0E"/>
    <w:rsid w:val="0059155B"/>
    <w:rsid w:val="006F422F"/>
    <w:rsid w:val="00742F23"/>
    <w:rsid w:val="009F2E5F"/>
    <w:rsid w:val="00B7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8C9D4"/>
  <w15:chartTrackingRefBased/>
  <w15:docId w15:val="{722D834B-EE00-46E1-A2E3-A3321FB7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1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1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1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5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5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5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5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5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5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5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5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5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5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5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 raghwa</dc:creator>
  <cp:keywords/>
  <dc:description/>
  <cp:lastModifiedBy>Federica Colucci</cp:lastModifiedBy>
  <cp:revision>4</cp:revision>
  <dcterms:created xsi:type="dcterms:W3CDTF">2024-02-08T14:39:00Z</dcterms:created>
  <dcterms:modified xsi:type="dcterms:W3CDTF">2024-03-05T09:38:00Z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2c5cc607682156291379bfc14723fce18c37f4476e16b73d479238aa7d82e862</vt:lpwstr>
  </property>
</Properties>
</file>