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F25A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es-ES"/>
        </w:rPr>
      </w:pPr>
      <w:r w:rsidRPr="0073032E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es-ES"/>
        </w:rPr>
        <w:t xml:space="preserve">Discurso de apertura de la 12ª WEEC, Abu </w:t>
      </w:r>
      <w:proofErr w:type="spellStart"/>
      <w:r w:rsidRPr="0073032E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es-ES"/>
        </w:rPr>
        <w:t>Dhabi</w:t>
      </w:r>
      <w:proofErr w:type="spellEnd"/>
      <w:r w:rsidRPr="0073032E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es-ES"/>
        </w:rPr>
        <w:t>, 29 de enero de 2024</w:t>
      </w:r>
    </w:p>
    <w:p w14:paraId="3F6BB207" w14:textId="77777777" w:rsidR="00B72F30" w:rsidRPr="0073032E" w:rsidRDefault="00B72F30" w:rsidP="00040AAC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es-ES"/>
        </w:rPr>
      </w:pPr>
    </w:p>
    <w:p w14:paraId="42657F44" w14:textId="74E0A160" w:rsidR="00040AAC" w:rsidRPr="0073032E" w:rsidRDefault="0073032E" w:rsidP="00040AAC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73032E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it-IT"/>
        </w:rPr>
        <w:t>Mario Salomone</w:t>
      </w:r>
    </w:p>
    <w:p w14:paraId="3169E868" w14:textId="77777777" w:rsidR="00040AAC" w:rsidRPr="0073032E" w:rsidRDefault="00040AAC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41DADB01" w14:textId="77777777" w:rsidR="00040AAC" w:rsidRPr="0073032E" w:rsidRDefault="00040AAC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1991FCCD" w14:textId="79FCF464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Excelencias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Autoridades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Instituciones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queridos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colegas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Abu Dhabi y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Emiratos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Árabes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Unidos, amigos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han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venido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gran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número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jóvenes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por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tercera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vez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participan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conferencia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nos trae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voz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indispensable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preciosa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nuevas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generaciones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49814297" w14:textId="526EA6AC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En primer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lugar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me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gustaría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agradecer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comité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organizador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local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(la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Agencia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Medio Ambiente),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compromiso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convicción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persiguió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objetivo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celebrar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aquí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proporcionando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plataforma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dinámica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diálogo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colaboración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1B63B91A" w14:textId="1DC2BA38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Agradezco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sinceramente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Abu Dhabi,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Emiratos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distancia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contribuyeron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éxito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duodécima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reunión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0E132F22" w14:textId="231CAA6C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WEEC 2024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encarna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compromiso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global con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país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anfitrión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también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está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demostrando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generosamente al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asumir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presidencia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Unión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Internacional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Conservación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Naturaleza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5FD556AA" w14:textId="11271350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papel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Emiratos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Árabes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Unidos como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anfitrión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ha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sido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crucial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creando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efecto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dominó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espero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extienda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mucho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allá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inspirando un cambio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impactante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166AA12F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Han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pasado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veinte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años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desde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primer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Portugal,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doce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: es un grande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éxito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13B6515B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Cada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vez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tratamos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presentar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reflexiones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adecuadas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momento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atravesando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en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acelera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rápidamente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investigaciones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recientes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prácticas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efectivas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631DC5C3" w14:textId="2B5258D8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Cada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vez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encontramos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lugar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diferente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también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diferente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porque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contexto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cambia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constantemente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alrededor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porque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cada destino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lleva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marca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diferentes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tradiciones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culturas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estructuras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económicas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sociales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así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como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lleva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marca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eventos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pasada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se ve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afectado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por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eventos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presente,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construcción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leeremos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futuro.</w:t>
      </w:r>
    </w:p>
    <w:p w14:paraId="0838B85D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Dado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futuro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invención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colectiva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futuro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resultado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acciones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elecciones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esperanzas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aproximadamente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8.100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millones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personas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habitan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Tierra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aproximadamente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8.500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millones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estarán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Tierra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2030,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año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mira la Agenda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Unidas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03057831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tiene la gran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responsabilidad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hacer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contribución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fundamental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este invento del futuro.</w:t>
      </w:r>
    </w:p>
    <w:p w14:paraId="03E0B051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también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callejón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sin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salida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: ¿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Qué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camino tomar?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compleja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bifurcación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maraña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senderos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bifurcan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bosque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senderos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ramifican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desierto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Hoy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, la "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policrisis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"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climática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ecológica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económica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geopolítica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hace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red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caminos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posibles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aún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compleja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incierta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62953A96" w14:textId="547BC571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primer punto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me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gustaría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subrayar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es, ante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futuro.</w:t>
      </w:r>
    </w:p>
    <w:p w14:paraId="11F5838E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Aquí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en Abu Dhabi, nos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encontramos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especialmente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importante. </w:t>
      </w:r>
    </w:p>
    <w:p w14:paraId="12C4AA1E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Asia, </w:t>
      </w:r>
      <w:proofErr w:type="gramStart"/>
      <w:r w:rsidRPr="0073032E">
        <w:rPr>
          <w:rFonts w:ascii="Arial" w:hAnsi="Arial" w:cs="Arial"/>
          <w:sz w:val="24"/>
          <w:szCs w:val="24"/>
          <w:lang w:val="it-IT"/>
        </w:rPr>
        <w:t>pero</w:t>
      </w:r>
      <w:proofErr w:type="gramEnd"/>
      <w:r w:rsidRPr="0073032E">
        <w:rPr>
          <w:rFonts w:ascii="Arial" w:hAnsi="Arial" w:cs="Arial"/>
          <w:sz w:val="24"/>
          <w:szCs w:val="24"/>
          <w:lang w:val="it-IT"/>
        </w:rPr>
        <w:t xml:space="preserve"> casi en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cinco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seis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 siete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continentes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(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según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criterios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)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aproximadamente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misma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distancia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línea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lastRenderedPageBreak/>
        <w:t>recta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centros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geográficos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(Asia,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África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Europa) y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otros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continentes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1DBEF7F9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Me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gustaría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recordar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Abu Dhabi,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4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febrero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2019 (por lo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quinto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aniversario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),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Gran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Imán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Al-Azhar Ahmad Al-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Tayyeb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junto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musulmanes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Oriente y Occidente y Su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Santidad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Papa Francisco con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católicos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Oriente y Occidente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firmaron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"Documento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sobre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Fraternidad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Humana para la Paz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Convivencia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Común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".</w:t>
      </w:r>
    </w:p>
    <w:p w14:paraId="423BD257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documento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refería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señales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una «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tercera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guerra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trozos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».</w:t>
      </w:r>
    </w:p>
    <w:p w14:paraId="0C012701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Bueno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también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son una gran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oportunidad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líderes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educativos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reúnan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Gracias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conscientes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este «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abrazo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Oriente y Occidente,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Norte y Sur»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pedía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Declaración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sobre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Fraternidad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Humana: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creyentes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no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creyentes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hombres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buena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voluntad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23420B36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declaración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identificó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plena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ciudadanía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derechos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diálogo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respeto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mutuo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objetivos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2F073D64" w14:textId="4575D511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Pues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bien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decir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en un momento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multiplican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signos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una «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tercera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guerra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trozos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»,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es, al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mismo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tiempo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ecociudadanía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multiculturalidad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quizás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también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históricamente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nacida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países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Norte,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debe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ser "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descolonizada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", dando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espacio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conocimientos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puntos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vista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lenguas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países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Sur.</w:t>
      </w:r>
    </w:p>
    <w:p w14:paraId="43CAED09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Junto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desafíos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futuro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desafío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ecociudadanía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planetaria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paz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veo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tercer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desafío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681E8B18" w14:textId="2578339B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bosque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deambulamos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como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educadores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sector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formal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no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formal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bosque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disciplinas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fragmentan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itinerarios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educativos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escuela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universidad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  <w:proofErr w:type="gramStart"/>
      <w:r w:rsidRPr="0073032E">
        <w:rPr>
          <w:rFonts w:ascii="Arial" w:hAnsi="Arial" w:cs="Arial"/>
          <w:sz w:val="24"/>
          <w:szCs w:val="24"/>
          <w:lang w:val="it-IT"/>
        </w:rPr>
        <w:t>Pero</w:t>
      </w:r>
      <w:proofErr w:type="gramEnd"/>
      <w:r w:rsidRPr="0073032E">
        <w:rPr>
          <w:rFonts w:ascii="Arial" w:hAnsi="Arial" w:cs="Arial"/>
          <w:sz w:val="24"/>
          <w:szCs w:val="24"/>
          <w:lang w:val="it-IT"/>
        </w:rPr>
        <w:t xml:space="preserve"> incluso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fuera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escuela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universidad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hay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separaciones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ocultas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compartimentos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estancos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tanto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propio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trabajo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como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contexto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rodea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formado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por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estructuras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personas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imbuidas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separaciones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disciplinas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lenguajes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especializados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76CAFE5E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interdisciplinariedad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transdisciplinariedad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temas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gran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importancia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general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aún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nosotros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: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entorno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hecho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encuentra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encrucijada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perspectivas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terreno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ideal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construir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interdisciplinariedad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transdisciplinariedad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Sin embargo,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hay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tener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cuidado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: no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cuestión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abstracta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sólo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tenga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implicaciones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académicas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648D5681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Este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desafío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hecho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tiene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muchas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implicaciones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: pone en tela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juicio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ciencia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occidental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relación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conocimiento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experto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conocimiento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tradicional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empírico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plantea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cuestiones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ético-políticas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 implica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profunda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reorganización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conocimiento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estructuras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leyes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requiere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tener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cuenta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sociodiversidad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biodiversidad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relación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hombre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naturaleza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35B51DF0" w14:textId="17DA1C31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>¿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Qué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mejor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oportunidad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en definitiva,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demostrar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centralidad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(relativa)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?</w:t>
      </w:r>
    </w:p>
    <w:p w14:paraId="3E6F9B99" w14:textId="0BC4CC31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Esta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pregunta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lleva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una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conclusión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anuncio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importante.</w:t>
      </w:r>
    </w:p>
    <w:p w14:paraId="5AB100FE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concluir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me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gustaría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citar una frase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me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sugirió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hace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días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mi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colega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Samy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Zalat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Universidad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Canal de Suez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Egipto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: "Es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crucial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sitúe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centro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niveles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".</w:t>
      </w:r>
    </w:p>
    <w:p w14:paraId="537FF247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Los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la Red Global WEEC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nacieron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ello.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Promover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calidad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aumentar su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eficacia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ampliar y consolidar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comunidad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internacional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educadores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asegurar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cada uno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ustedes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regrese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casa,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después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con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más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ideas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energía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05B8DCBB" w14:textId="2C170FC5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lastRenderedPageBreak/>
        <w:t xml:space="preserve">Los invito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fortalecer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comunidad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utilizarla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construir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asociaciones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proyectos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iniciativas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investigación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utilizar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nuestro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sitio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web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canales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redes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sociales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y a celebrar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Educación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Ambiental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este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octubre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1FF89C6C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Finalmente,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prometí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anuncio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1F958E56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Los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procesos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aprendizaje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esenciales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través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aprendizaje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adquirimos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elementos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movernos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caminos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historia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casos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vida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47824E6F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Podemos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bien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 mal,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podemos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volvernos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egoístas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individualistas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solidarios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cooperativos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podemos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absorber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conocimientos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conservadores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innovadores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6D07E651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aprendizaje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diferencia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crecimiento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material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posible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planeta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finito, </w:t>
      </w:r>
      <w:proofErr w:type="gramStart"/>
      <w:r w:rsidRPr="0073032E">
        <w:rPr>
          <w:rFonts w:ascii="Arial" w:hAnsi="Arial" w:cs="Arial"/>
          <w:sz w:val="24"/>
          <w:szCs w:val="24"/>
          <w:lang w:val="it-IT"/>
        </w:rPr>
        <w:t>no</w:t>
      </w:r>
      <w:proofErr w:type="gramEnd"/>
      <w:r w:rsidRPr="0073032E">
        <w:rPr>
          <w:rFonts w:ascii="Arial" w:hAnsi="Arial" w:cs="Arial"/>
          <w:sz w:val="24"/>
          <w:szCs w:val="24"/>
          <w:lang w:val="it-IT"/>
        </w:rPr>
        <w:t xml:space="preserve"> tiene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límites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631BA424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Hace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cuarenta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cinco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años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séptimo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informe del Club de Roma (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recordamos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primer informe del MIT, "Los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límites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crecimiento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")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publicó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 informe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titulado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precisamente, "No Limits to Learning". </w:t>
      </w:r>
    </w:p>
    <w:p w14:paraId="3674D684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Hoy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día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importancia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aprendizaje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enfrentamiento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"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policrisis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" nos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lleva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revisar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relación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sobre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aprendizaje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poder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construir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juntos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futuro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deseable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3B564CD6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Así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aquí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está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anuncio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: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comienza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viaje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Club de Roma y la red global de WEEC, con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objetivo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comprender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mejor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naturaleza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aprendizaje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hoy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gramStart"/>
      <w:r w:rsidRPr="0073032E">
        <w:rPr>
          <w:rFonts w:ascii="Arial" w:hAnsi="Arial" w:cs="Arial"/>
          <w:sz w:val="24"/>
          <w:szCs w:val="24"/>
          <w:lang w:val="it-IT"/>
        </w:rPr>
        <w:t>a la</w:t>
      </w:r>
      <w:proofErr w:type="gram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luz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mensaje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"No Limits to Learning" ha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enviado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ante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inmensidad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tarea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mejorar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calidad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los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seres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humanos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253CFBED" w14:textId="5495989C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El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mensaje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resume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una frase </w:t>
      </w:r>
      <w:proofErr w:type="gramStart"/>
      <w:r w:rsidRPr="0073032E">
        <w:rPr>
          <w:rFonts w:ascii="Arial" w:hAnsi="Arial" w:cs="Arial"/>
          <w:sz w:val="24"/>
          <w:szCs w:val="24"/>
          <w:lang w:val="it-IT"/>
        </w:rPr>
        <w:t>del italiano</w:t>
      </w:r>
      <w:proofErr w:type="gramEnd"/>
      <w:r w:rsidRPr="0073032E">
        <w:rPr>
          <w:rFonts w:ascii="Arial" w:hAnsi="Arial" w:cs="Arial"/>
          <w:sz w:val="24"/>
          <w:szCs w:val="24"/>
          <w:lang w:val="it-IT"/>
        </w:rPr>
        <w:t xml:space="preserve"> Aurelio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Peccei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fundador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Club de Roma: "Lo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necesitamos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esta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etapa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evolución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humana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necesita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para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lo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necesitamos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aprender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y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aprenderlo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>".</w:t>
      </w:r>
    </w:p>
    <w:p w14:paraId="2F996F44" w14:textId="77777777" w:rsidR="0073032E" w:rsidRPr="0073032E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3032E">
        <w:rPr>
          <w:rFonts w:ascii="Arial" w:hAnsi="Arial" w:cs="Arial"/>
          <w:sz w:val="24"/>
          <w:szCs w:val="24"/>
          <w:lang w:val="it-IT"/>
        </w:rPr>
        <w:t xml:space="preserve">Los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trabajos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del XII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Congreso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Mundial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se inaugura esta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mañana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también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nos </w:t>
      </w:r>
      <w:proofErr w:type="spellStart"/>
      <w:r w:rsidRPr="0073032E">
        <w:rPr>
          <w:rFonts w:ascii="Arial" w:hAnsi="Arial" w:cs="Arial"/>
          <w:sz w:val="24"/>
          <w:szCs w:val="24"/>
          <w:lang w:val="it-IT"/>
        </w:rPr>
        <w:t>ayudarán</w:t>
      </w:r>
      <w:proofErr w:type="spellEnd"/>
      <w:r w:rsidRPr="0073032E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gramStart"/>
      <w:r w:rsidRPr="0073032E">
        <w:rPr>
          <w:rFonts w:ascii="Arial" w:hAnsi="Arial" w:cs="Arial"/>
          <w:sz w:val="24"/>
          <w:szCs w:val="24"/>
          <w:lang w:val="it-IT"/>
        </w:rPr>
        <w:t>este camino</w:t>
      </w:r>
      <w:proofErr w:type="gramEnd"/>
      <w:r w:rsidRPr="0073032E">
        <w:rPr>
          <w:rFonts w:ascii="Arial" w:hAnsi="Arial" w:cs="Arial"/>
          <w:sz w:val="24"/>
          <w:szCs w:val="24"/>
          <w:lang w:val="it-IT"/>
        </w:rPr>
        <w:t>.</w:t>
      </w:r>
    </w:p>
    <w:p w14:paraId="2381A593" w14:textId="2C4E5813" w:rsidR="0059155B" w:rsidRPr="00040AAC" w:rsidRDefault="0073032E" w:rsidP="0073032E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3032E">
        <w:rPr>
          <w:rFonts w:ascii="Arial" w:hAnsi="Arial" w:cs="Arial"/>
          <w:sz w:val="24"/>
          <w:szCs w:val="24"/>
          <w:lang w:val="en-US"/>
        </w:rPr>
        <w:t xml:space="preserve">¡Buen </w:t>
      </w:r>
      <w:proofErr w:type="spellStart"/>
      <w:r w:rsidRPr="0073032E">
        <w:rPr>
          <w:rFonts w:ascii="Arial" w:hAnsi="Arial" w:cs="Arial"/>
          <w:sz w:val="24"/>
          <w:szCs w:val="24"/>
          <w:lang w:val="en-US"/>
        </w:rPr>
        <w:t>trabajo</w:t>
      </w:r>
      <w:proofErr w:type="spellEnd"/>
      <w:r w:rsidRPr="0073032E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proofErr w:type="gramStart"/>
      <w:r w:rsidRPr="0073032E">
        <w:rPr>
          <w:rFonts w:ascii="Arial" w:hAnsi="Arial" w:cs="Arial"/>
          <w:sz w:val="24"/>
          <w:szCs w:val="24"/>
          <w:lang w:val="en-US"/>
        </w:rPr>
        <w:t>todos</w:t>
      </w:r>
      <w:proofErr w:type="spellEnd"/>
      <w:r w:rsidRPr="0073032E">
        <w:rPr>
          <w:rFonts w:ascii="Arial" w:hAnsi="Arial" w:cs="Arial"/>
          <w:sz w:val="24"/>
          <w:szCs w:val="24"/>
          <w:lang w:val="en-US"/>
        </w:rPr>
        <w:t>!</w:t>
      </w:r>
      <w:r w:rsidR="00530F0E" w:rsidRPr="00040AAC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530F0E" w:rsidRPr="00040AAC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59155B" w:rsidRPr="00040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63CE"/>
    <w:multiLevelType w:val="hybridMultilevel"/>
    <w:tmpl w:val="D6A872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5B"/>
    <w:rsid w:val="00040AAC"/>
    <w:rsid w:val="0015313C"/>
    <w:rsid w:val="004454F1"/>
    <w:rsid w:val="00491B72"/>
    <w:rsid w:val="00530F0E"/>
    <w:rsid w:val="0059155B"/>
    <w:rsid w:val="006F422F"/>
    <w:rsid w:val="0073032E"/>
    <w:rsid w:val="009F2E5F"/>
    <w:rsid w:val="00B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8C9D4"/>
  <w15:chartTrackingRefBased/>
  <w15:docId w15:val="{722D834B-EE00-46E1-A2E3-A3321FB7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5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5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5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5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5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5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5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5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5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5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 raghwa</dc:creator>
  <cp:keywords/>
  <dc:description/>
  <cp:lastModifiedBy>Federica Colucci</cp:lastModifiedBy>
  <cp:revision>5</cp:revision>
  <dcterms:created xsi:type="dcterms:W3CDTF">2024-02-08T14:39:00Z</dcterms:created>
  <dcterms:modified xsi:type="dcterms:W3CDTF">2024-03-05T09:41:00Z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2c5cc607682156291379bfc14723fce18c37f4476e16b73d479238aa7d82e862</vt:lpwstr>
  </property>
</Properties>
</file>